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0FA1F85F" w:rsidR="005B73E8" w:rsidRDefault="00521451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Начальник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ц</w:t>
      </w:r>
      <w:r w:rsidR="00F51EE5">
        <w:rPr>
          <w:rFonts w:ascii="Times New Roman" w:hAnsi="Times New Roman" w:cs="Times New Roman"/>
          <w:i/>
          <w:sz w:val="28"/>
        </w:rPr>
        <w:t>ентр</w:t>
      </w:r>
      <w:r>
        <w:rPr>
          <w:rFonts w:ascii="Times New Roman" w:hAnsi="Times New Roman" w:cs="Times New Roman"/>
          <w:i/>
          <w:sz w:val="28"/>
        </w:rPr>
        <w:t>а</w:t>
      </w:r>
      <w:bookmarkStart w:id="0" w:name="_GoBack"/>
      <w:bookmarkEnd w:id="0"/>
      <w:r w:rsidR="00F51EE5">
        <w:rPr>
          <w:rFonts w:ascii="Times New Roman" w:hAnsi="Times New Roman" w:cs="Times New Roman"/>
          <w:i/>
          <w:sz w:val="28"/>
        </w:rPr>
        <w:t xml:space="preserve"> предлицензионной подготовки и сертификации (ЦППС)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F51EE5">
        <w:rPr>
          <w:rFonts w:ascii="Times New Roman" w:hAnsi="Times New Roman" w:cs="Times New Roman"/>
          <w:i/>
          <w:sz w:val="28"/>
        </w:rPr>
        <w:t>Транспортное строительство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D4FBBC0" w:rsidR="00A51744" w:rsidRPr="00A51744" w:rsidRDefault="00F51EE5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36E27C15" w:rsidR="00A51744" w:rsidRPr="00A51744" w:rsidRDefault="00F51EE5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4B26E6C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2E714EE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4BED5E4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6C4743AD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1209EE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529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146" w14:textId="1A231916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44339B6C" w:rsidR="00A51744" w:rsidRPr="00A51744" w:rsidRDefault="00D27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0ADE4425" w:rsidR="00A51744" w:rsidRPr="00A51744" w:rsidRDefault="00D27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0BE904FA" w:rsidR="00A51744" w:rsidRPr="00A51744" w:rsidRDefault="00D27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0570B3E1" w:rsidR="00A51744" w:rsidRPr="00A51744" w:rsidRDefault="00D27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FB17609" w:rsidR="00A51744" w:rsidRPr="00A51744" w:rsidRDefault="00D27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660A130E" w:rsidR="00A51744" w:rsidRPr="00A51744" w:rsidRDefault="00D27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2B89ED7C" w:rsidR="00A51744" w:rsidRPr="00A51744" w:rsidRDefault="00D27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5686903" w:rsidR="00A51744" w:rsidRPr="00A51744" w:rsidRDefault="00D27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7191966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50A92791" w:rsidR="00A51744" w:rsidRPr="00A51744" w:rsidRDefault="00D27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045FD7F2" w:rsidR="00A51744" w:rsidRPr="00A51744" w:rsidRDefault="00D27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4E8AA12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37543DD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35D431B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20E4E41B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D0AB1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sz w:val="24"/>
          <w:szCs w:val="24"/>
        </w:rPr>
        <w:t>т</w:t>
      </w:r>
      <w:r w:rsidR="003D36B6">
        <w:rPr>
          <w:rFonts w:ascii="Times New Roman" w:hAnsi="Times New Roman" w:cs="Times New Roman"/>
          <w:sz w:val="24"/>
          <w:szCs w:val="24"/>
        </w:rPr>
        <w:t>ехн</w:t>
      </w:r>
      <w:r w:rsidR="00E92257">
        <w:rPr>
          <w:rFonts w:ascii="Times New Roman" w:hAnsi="Times New Roman" w:cs="Times New Roman"/>
          <w:sz w:val="24"/>
          <w:szCs w:val="24"/>
        </w:rPr>
        <w:t>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12576996" w14:textId="5A8D37DF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D277D8">
        <w:rPr>
          <w:rFonts w:ascii="Times New Roman" w:hAnsi="Times New Roman" w:cs="Times New Roman"/>
          <w:sz w:val="24"/>
          <w:szCs w:val="24"/>
        </w:rPr>
        <w:t xml:space="preserve"> не менее 10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1AA9A53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  <w:r>
              <w:rPr>
                <w:rFonts w:ascii="Times New Roman" w:hAnsi="Times New Roman"/>
                <w:iCs/>
                <w:sz w:val="24"/>
                <w:szCs w:val="21"/>
              </w:rPr>
              <w:t xml:space="preserve"> в журналах, рекомендованных ВАК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76A53B5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3BE2E7A1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541ABE6F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D277D8">
        <w:rPr>
          <w:rFonts w:ascii="Times New Roman" w:eastAsia="Times New Roman" w:hAnsi="Times New Roman" w:cs="Times New Roman"/>
          <w:sz w:val="24"/>
          <w:szCs w:val="28"/>
          <w:lang w:eastAsia="ru-RU"/>
        </w:rPr>
        <w:t>12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7FBC082B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51744" w:rsidRPr="00A5174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1E7E0A02" w:rsidR="00D5725B" w:rsidRPr="00A51744" w:rsidRDefault="00D277D8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Устинов Борис Валентинович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530580F7" w:rsidR="00D5725B" w:rsidRPr="00A51744" w:rsidRDefault="00D277D8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bvu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1B07F486" w:rsidR="00D5725B" w:rsidRPr="00A51744" w:rsidRDefault="00EA23F0" w:rsidP="00D277D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D277D8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D277D8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</w:t>
            </w:r>
            <w:r w:rsidR="00A51744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1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21451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277D8"/>
    <w:rsid w:val="00D5725B"/>
    <w:rsid w:val="00E06FAC"/>
    <w:rsid w:val="00E10406"/>
    <w:rsid w:val="00E733F8"/>
    <w:rsid w:val="00E8520C"/>
    <w:rsid w:val="00E92257"/>
    <w:rsid w:val="00EA23F0"/>
    <w:rsid w:val="00ED0AB1"/>
    <w:rsid w:val="00F51EE5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9778-0FD6-48A7-B774-5F786A5A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23</cp:revision>
  <cp:lastPrinted>2017-03-22T01:49:00Z</cp:lastPrinted>
  <dcterms:created xsi:type="dcterms:W3CDTF">2016-12-15T10:18:00Z</dcterms:created>
  <dcterms:modified xsi:type="dcterms:W3CDTF">2017-10-13T02:19:00Z</dcterms:modified>
</cp:coreProperties>
</file>